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63" w:rsidRDefault="00702F63" w:rsidP="00702F63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02F63" w:rsidRDefault="00702F63" w:rsidP="00702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АНАСТАСЬЕВКОГО СЕЛЬСКОГО ПОСЕЛЕНИЯ</w:t>
      </w:r>
    </w:p>
    <w:p w:rsidR="00702F63" w:rsidRDefault="00702F63" w:rsidP="00702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702F63" w:rsidRDefault="00702F63" w:rsidP="00702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2F63" w:rsidRPr="00702F63" w:rsidRDefault="00702F63" w:rsidP="00702F6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20.06.2022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Pr="00702F63">
        <w:rPr>
          <w:rFonts w:ascii="Times New Roman" w:eastAsia="Times New Roman" w:hAnsi="Times New Roman" w:cs="Times New Roman"/>
          <w:sz w:val="28"/>
          <w:szCs w:val="24"/>
          <w:u w:val="single"/>
        </w:rPr>
        <w:t>32</w:t>
      </w:r>
    </w:p>
    <w:p w:rsidR="00FA7BF2" w:rsidRPr="00702F63" w:rsidRDefault="00702F63" w:rsidP="00702F6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A7BF2" w:rsidRDefault="00FA7BF2" w:rsidP="00FA7BF2">
      <w:pPr>
        <w:spacing w:after="0" w:line="240" w:lineRule="exac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</w:t>
      </w:r>
      <w:r w:rsidRPr="0049308A">
        <w:rPr>
          <w:rFonts w:ascii="Times New Roman" w:hAnsi="Times New Roman" w:cs="Times New Roman"/>
          <w:sz w:val="28"/>
          <w:szCs w:val="28"/>
        </w:rPr>
        <w:t>Хабаровского края от 17.12.2021 № 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Об утверждении методики прогнозирования поступлений доходов в бюджет </w:t>
      </w:r>
      <w:proofErr w:type="spellStart"/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края, главным администратором которых является администрация </w:t>
      </w:r>
      <w:proofErr w:type="spellStart"/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FA7BF2" w:rsidRDefault="00FA7BF2" w:rsidP="00694A4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 целях приведения</w:t>
      </w:r>
      <w:r w:rsidRPr="0049308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соответствие с действующим законодательством нормативного правового акта, администрация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:rsidR="00FA7BF2" w:rsidRDefault="00FA7BF2" w:rsidP="00FA7BF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A7BF2" w:rsidRDefault="00FA7BF2" w:rsidP="00FA7BF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A5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Методику прогнозирования поступлений доходов в бюджет </w:t>
      </w:r>
      <w:proofErr w:type="spellStart"/>
      <w:r w:rsidRPr="00A572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края, главным администратором которых является администрация </w:t>
      </w:r>
      <w:proofErr w:type="spellStart"/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от 17.12.2021 № 60(далее- Методика) следующие изменения:</w:t>
      </w:r>
    </w:p>
    <w:p w:rsidR="00FA7BF2" w:rsidRPr="00FA7BF2" w:rsidRDefault="00FA7BF2" w:rsidP="00FA7BF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C6221">
        <w:rPr>
          <w:rStyle w:val="a3"/>
          <w:rFonts w:ascii="Times New Roman" w:hAnsi="Times New Roman" w:cs="Times New Roman"/>
          <w:color w:val="000000"/>
          <w:sz w:val="28"/>
          <w:szCs w:val="28"/>
        </w:rPr>
        <w:t>1</w:t>
      </w:r>
      <w:r w:rsidR="001C6221">
        <w:rPr>
          <w:rStyle w:val="a3"/>
          <w:rFonts w:ascii="Times New Roman" w:hAnsi="Times New Roman" w:cs="Times New Roman"/>
          <w:color w:val="000000"/>
          <w:sz w:val="28"/>
          <w:szCs w:val="28"/>
        </w:rPr>
        <w:t>.2. Часть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 Методики</w:t>
      </w:r>
      <w:r w:rsidR="001C622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6127A4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1C622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6221" w:rsidRPr="00E404C5" w:rsidRDefault="001C6221" w:rsidP="001C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</w:t>
      </w:r>
      <w:proofErr w:type="spellStart"/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разместить в сети Интернет на официальном сайте администрации </w:t>
      </w:r>
      <w:proofErr w:type="spellStart"/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:rsidR="001C6221" w:rsidRPr="00E404C5" w:rsidRDefault="001C6221" w:rsidP="001C6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C6221" w:rsidRDefault="001C6221" w:rsidP="001C62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21" w:rsidRDefault="001C6221" w:rsidP="001C62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Рахматуллин</w:t>
      </w:r>
    </w:p>
    <w:p w:rsidR="00694A4F" w:rsidRDefault="00694A4F" w:rsidP="001C62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4F" w:rsidRPr="00E404C5" w:rsidRDefault="00694A4F" w:rsidP="001C62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E2" w:rsidRDefault="001B11E2" w:rsidP="001C62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sectPr w:rsidR="001B1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1E2" w:rsidRPr="00234AB2" w:rsidRDefault="001B11E2" w:rsidP="001B11E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1B11E2" w:rsidRPr="00234AB2" w:rsidRDefault="001B11E2" w:rsidP="001B11E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234AB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11E2" w:rsidRDefault="001B11E2" w:rsidP="001B11E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34AB2">
        <w:rPr>
          <w:rFonts w:ascii="Times New Roman" w:hAnsi="Times New Roman" w:cs="Times New Roman"/>
          <w:b w:val="0"/>
          <w:sz w:val="28"/>
          <w:szCs w:val="28"/>
        </w:rPr>
        <w:t>Анастасьевского</w:t>
      </w:r>
      <w:proofErr w:type="spellEnd"/>
      <w:r w:rsidRPr="00234AB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B11E2" w:rsidRDefault="001B11E2" w:rsidP="001B11E2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1B11E2" w:rsidRDefault="001B11E2" w:rsidP="002C171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Хабаровского края от 20.06.2022 </w:t>
      </w:r>
      <w:r w:rsidRPr="004301D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</w:p>
    <w:p w:rsidR="002C1710" w:rsidRPr="002C1710" w:rsidRDefault="002C1710" w:rsidP="002C171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11E2" w:rsidRPr="002C1710" w:rsidRDefault="002C1710" w:rsidP="002C17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10">
        <w:rPr>
          <w:rFonts w:ascii="Times New Roman" w:hAnsi="Times New Roman" w:cs="Times New Roman"/>
          <w:sz w:val="24"/>
          <w:szCs w:val="24"/>
        </w:rPr>
        <w:t xml:space="preserve">2. </w:t>
      </w:r>
      <w:r w:rsidR="001B11E2" w:rsidRPr="002C1710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поселения</w:t>
      </w:r>
    </w:p>
    <w:tbl>
      <w:tblPr>
        <w:tblW w:w="5490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1"/>
        <w:gridCol w:w="1044"/>
        <w:gridCol w:w="2055"/>
        <w:gridCol w:w="2277"/>
        <w:gridCol w:w="1983"/>
        <w:gridCol w:w="1104"/>
        <w:gridCol w:w="2017"/>
        <w:gridCol w:w="2410"/>
        <w:gridCol w:w="2598"/>
      </w:tblGrid>
      <w:tr w:rsidR="001B11E2" w:rsidRPr="002C1710" w:rsidTr="002C1710">
        <w:trPr>
          <w:tblHeader/>
        </w:trPr>
        <w:tc>
          <w:tcPr>
            <w:tcW w:w="568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39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ратора доходов</w:t>
            </w:r>
          </w:p>
        </w:tc>
        <w:tc>
          <w:tcPr>
            <w:tcW w:w="2046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главного администратора доходов</w:t>
            </w:r>
          </w:p>
        </w:tc>
        <w:tc>
          <w:tcPr>
            <w:tcW w:w="2267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КБК </w:t>
            </w:r>
          </w:p>
        </w:tc>
        <w:tc>
          <w:tcPr>
            <w:tcW w:w="1974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br/>
              <w:t>КБК доходов</w:t>
            </w:r>
          </w:p>
        </w:tc>
        <w:tc>
          <w:tcPr>
            <w:tcW w:w="1099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метода расчета </w:t>
            </w:r>
          </w:p>
        </w:tc>
        <w:tc>
          <w:tcPr>
            <w:tcW w:w="2008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Формула расчета </w:t>
            </w:r>
          </w:p>
        </w:tc>
        <w:tc>
          <w:tcPr>
            <w:tcW w:w="2399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Алгоритм расчета </w:t>
            </w:r>
          </w:p>
        </w:tc>
        <w:tc>
          <w:tcPr>
            <w:tcW w:w="2586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 </w:t>
            </w:r>
          </w:p>
        </w:tc>
      </w:tr>
      <w:tr w:rsidR="001B11E2" w:rsidRPr="002C1710" w:rsidTr="002C1710">
        <w:trPr>
          <w:tblHeader/>
        </w:trPr>
        <w:tc>
          <w:tcPr>
            <w:tcW w:w="568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1B11E2" w:rsidRPr="002C1710" w:rsidRDefault="001B11E2" w:rsidP="0042093A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974" w:type="dxa"/>
          </w:tcPr>
          <w:p w:rsidR="001B11E2" w:rsidRPr="002C1710" w:rsidRDefault="001B11E2" w:rsidP="0042093A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099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= П1гос + П2гос +…. +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Пnгос</w:t>
            </w:r>
            <w:proofErr w:type="spellEnd"/>
          </w:p>
        </w:tc>
        <w:tc>
          <w:tcPr>
            <w:tcW w:w="2399" w:type="dxa"/>
            <w:vAlign w:val="center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- сумма госпошлины, прогнозируемая к поступлению в бюджет поселения, в прогнозируемом году; 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П1гос, П2гос,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Пnгос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– виды услуг, отнесенному к данному коду доходов, где: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П1гос=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П2гос =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Пnгос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, где: 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n-количество прогнозируемых видов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услуг;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-размер госпошлины по видам услуг;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госпошлин по видам услуг, определяется методом усреднения по следующей формуле: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(т-1) +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(т-2) +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Кгос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(т-3)) / 3,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где: т – текущий год</w:t>
            </w:r>
          </w:p>
        </w:tc>
      </w:tr>
      <w:tr w:rsidR="001B11E2" w:rsidRPr="002C1710" w:rsidTr="002C1710">
        <w:trPr>
          <w:trHeight w:val="2092"/>
        </w:trPr>
        <w:tc>
          <w:tcPr>
            <w:tcW w:w="568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9" w:type="dxa"/>
          </w:tcPr>
          <w:p w:rsidR="001B11E2" w:rsidRPr="002C1710" w:rsidRDefault="001B11E2" w:rsidP="00420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974" w:type="dxa"/>
          </w:tcPr>
          <w:p w:rsidR="001B11E2" w:rsidRPr="002C1710" w:rsidRDefault="001B11E2" w:rsidP="0042093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9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ДДСН = (∑ПЛ) + (∑ПЗ)*К</w:t>
            </w:r>
          </w:p>
        </w:tc>
        <w:tc>
          <w:tcPr>
            <w:tcW w:w="2399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6" w:type="dxa"/>
          </w:tcPr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ДДСН - доходы по договорам социального найма жилого помещения муниципального жилищного фонда на очередной финансовый год и плановый период;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 - размер годовой платы за социальный наем жилого помещения по каждому договору, действующему (заключенному) в текущем году; 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ПЗ - размер годовой арендной платы по каждому договору социального найма, планируемому к заключению в очередном финансовом году и плановом периоде; 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 – коэффициент собираемости в последнем отчетном периоде (не более 1).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К = ∑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/∑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, где: 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платежей,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в бюджет поселения в отчетном году; </w:t>
            </w:r>
          </w:p>
          <w:p w:rsidR="001B11E2" w:rsidRPr="002C1710" w:rsidRDefault="001B11E2" w:rsidP="00420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начислений по данному коду доходов, подлежащих поступлению в бюджет поселения в отчетном году.</w:t>
            </w:r>
          </w:p>
        </w:tc>
      </w:tr>
      <w:tr w:rsidR="002C1710" w:rsidRPr="002C1710" w:rsidTr="002C1710">
        <w:trPr>
          <w:trHeight w:val="2092"/>
        </w:trPr>
        <w:tc>
          <w:tcPr>
            <w:tcW w:w="568" w:type="dxa"/>
          </w:tcPr>
          <w:p w:rsidR="002C1710" w:rsidRPr="002C1710" w:rsidRDefault="002C1710" w:rsidP="002C17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9" w:type="dxa"/>
          </w:tcPr>
          <w:p w:rsidR="002C1710" w:rsidRPr="002C1710" w:rsidRDefault="002C1710" w:rsidP="002C17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2C1710" w:rsidRPr="002C1710" w:rsidRDefault="002C1710" w:rsidP="002C171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2C1710" w:rsidRPr="002C1710" w:rsidRDefault="002C1710" w:rsidP="002C171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1974" w:type="dxa"/>
          </w:tcPr>
          <w:p w:rsidR="002C1710" w:rsidRPr="002C1710" w:rsidRDefault="002C1710" w:rsidP="002C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9" w:type="dxa"/>
          </w:tcPr>
          <w:p w:rsidR="002C1710" w:rsidRPr="002C1710" w:rsidRDefault="002C1710" w:rsidP="002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2008" w:type="dxa"/>
          </w:tcPr>
          <w:p w:rsidR="002C1710" w:rsidRPr="002C1710" w:rsidRDefault="002C1710" w:rsidP="002C171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ПД(</w:t>
            </w:r>
            <w:proofErr w:type="spellStart"/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</w:t>
            </w:r>
            <w:proofErr w:type="spellEnd"/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)=∑ПУ*С</w:t>
            </w:r>
            <w:r w:rsidRPr="002C17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2C1710" w:rsidRPr="002C1710" w:rsidRDefault="002C1710" w:rsidP="002C1710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C1710" w:rsidRPr="002C1710" w:rsidRDefault="002C1710" w:rsidP="002C17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производится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      </w:r>
          </w:p>
          <w:p w:rsidR="002C1710" w:rsidRPr="002C1710" w:rsidRDefault="002C1710" w:rsidP="002C171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количества </w:t>
            </w:r>
            <w:r w:rsidRPr="002C1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      </w:r>
          </w:p>
        </w:tc>
        <w:tc>
          <w:tcPr>
            <w:tcW w:w="2586" w:type="dxa"/>
          </w:tcPr>
          <w:p w:rsidR="002C1710" w:rsidRPr="002C1710" w:rsidRDefault="002C1710" w:rsidP="002C1710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ПД(</w:t>
            </w:r>
            <w:proofErr w:type="spellStart"/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</w:t>
            </w:r>
            <w:proofErr w:type="spellEnd"/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)-прогноз доходов от оказания платных услуг(работ);</w:t>
            </w:r>
          </w:p>
          <w:p w:rsidR="002C1710" w:rsidRPr="002C1710" w:rsidRDefault="002C1710" w:rsidP="002C1710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ПУ-количество планируемых платных услуг;</w:t>
            </w:r>
          </w:p>
          <w:p w:rsidR="002C1710" w:rsidRPr="002C1710" w:rsidRDefault="002C1710" w:rsidP="002C1710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С-стоимость определенной платной услуги</w:t>
            </w: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ПП = (ППф1 +ППф2 +ППф3) / 3</w:t>
            </w: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ПП – прогнозная сумма поступлений в бюджет поселения прочих доходов от компенсации затрат бюджета поселения в очередном финансовом году и в плановом периоде; 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ППф1 – фактический годовой объем поступлений в бюджет поселения прочих доходов от компенсации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 бюджета поселения за отчетный год; 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ППф2 – фактический годовой объем поступлений в бюджет поселения прочих доходов от компенсации затрат бюджета поселения за предыдущий отчетный год; </w:t>
            </w:r>
          </w:p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ППф3 – фактический годовой объем поступлений в бюджет поселения прочих доходов от компенсации затрат бюджета поселения за год, предшествующий предыдущему отчетному году</w:t>
            </w: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1B11E2" w:rsidRPr="002C1710" w:rsidRDefault="001B11E2" w:rsidP="001B11E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Поступления по данному коду бюджетной классификации зависят от количества расчетных документов, некорректно оформленных плательщиками, которые подлежат уточнению либо возврату плательщику, в связи с чем поступления по данному коду прогнозируются на нулевом уровне.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rPr>
          <w:trHeight w:val="4030"/>
        </w:trPr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1B11E2" w:rsidRPr="002C1710" w:rsidRDefault="001B11E2" w:rsidP="001B11E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ПНф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/ 3</w:t>
            </w:r>
          </w:p>
        </w:tc>
        <w:tc>
          <w:tcPr>
            <w:tcW w:w="2399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— прогноз поступления прочих неналоговых доходов на соответствующий финансовый год; </w:t>
            </w:r>
          </w:p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ПНф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— фактическое поступление прочих неналоговых доходов за 3 года, предшествующих году, в котором осуществляется прогнозирование.</w:t>
            </w: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2C171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Доля планируемого объема инициативных платежей от общей планируемой стоимости реализации инициативного проекта определяется как доля участия средств населения (физических и (или)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лиц) в финансировании реализации инициативного проекта</w:t>
            </w:r>
            <w:r w:rsidR="002C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Мнение граждан по вопросу о поддержке инициативного проекта может быть выявлено на собрании или конференции граждан, а также путем опроса граждан, сбора их подписей.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дотации на выравнивание бюджетной обеспеченности планируется в соответствии с результатом распределения дотации между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образованиями Хабаровского муниципального района, утвержденным нормативными правовыми актами органов исполнительной власти Хабаровского края и Хабаровского муниципального района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объем прочих субсидий бюджету поселения определяется на основании: </w:t>
            </w:r>
          </w:p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Хабаровского края, устанавливающих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период»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прочих межбюджетных трансфертов, передаваемых бюджету сельского поселения определяется на основании нормативных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Хабаровского края и Хабаровского муниципального района, устанавливающих порядок предоставления межбюджетных трансфертов бюджетам сельских поселений, соглашений, заключенных с органами государственной власти, о предоставлении межбюджетных трансфертов бюджету поселения.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20705030100000150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безвозмездные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прогнозируются исходя из имеющихся на момент составления проекта бюджета сельского поселения намерений физических и (или) юридических лиц о предоставлении безвозмездных поступлений (пожертвований) в бюджет поселения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объема поступлений на этапе формирования проекта бюджета на очередной финансовый год и плановый период не осуществляется в </w:t>
            </w:r>
            <w:r w:rsidRPr="002C1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 отсутствием системного характера их уплаты и объективной информации для осуществления расчета. Прогноз поступлений формируется при внесении изменений в бюджет поселения, исходя из суммы фактического поступления доходов.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поступления доходов от возврата прочих остатков субсидий, субвенций и иных межбюджетных трансфертов, имеющих целевое назначение, прошлых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из бюджетов муниципальных образований осуществляется на текущий финансовый год на основании данных о фактическом поступлении доходов на последнюю отчетную дату текущего финансового года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1B11E2" w:rsidRPr="002C1710" w:rsidTr="002C1710">
        <w:tc>
          <w:tcPr>
            <w:tcW w:w="568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39" w:type="dxa"/>
          </w:tcPr>
          <w:p w:rsidR="001B11E2" w:rsidRPr="002C1710" w:rsidRDefault="001B11E2" w:rsidP="001B1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46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67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1974" w:type="dxa"/>
          </w:tcPr>
          <w:p w:rsidR="001B11E2" w:rsidRPr="002C1710" w:rsidRDefault="001B11E2" w:rsidP="001B11E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2008" w:type="dxa"/>
          </w:tcPr>
          <w:p w:rsidR="001B11E2" w:rsidRPr="002C1710" w:rsidRDefault="001B11E2" w:rsidP="001B11E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11E2" w:rsidRPr="002C1710" w:rsidRDefault="001B11E2" w:rsidP="001B11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710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формируется при внесении изменений в бюджет поселения, исходя из суммы фактического остатка субсидий, субвенций и иных межбюджетных трансфертов, имеющих целевое назначение, </w:t>
            </w:r>
            <w:r w:rsidRPr="002C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возврату в бюджет Хабаровского муниципального района</w:t>
            </w:r>
          </w:p>
        </w:tc>
        <w:tc>
          <w:tcPr>
            <w:tcW w:w="2586" w:type="dxa"/>
          </w:tcPr>
          <w:p w:rsidR="001B11E2" w:rsidRPr="002C1710" w:rsidRDefault="001B11E2" w:rsidP="001B11E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22902" w:rsidRPr="002C1710" w:rsidRDefault="00522902" w:rsidP="00694A4F">
      <w:pPr>
        <w:pStyle w:val="1"/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902" w:rsidRPr="002C1710" w:rsidSect="001B11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AA92"/>
    <w:multiLevelType w:val="multilevel"/>
    <w:tmpl w:val="60ACAA92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8"/>
    <w:rsid w:val="001B11E2"/>
    <w:rsid w:val="001C6221"/>
    <w:rsid w:val="002C1710"/>
    <w:rsid w:val="00522902"/>
    <w:rsid w:val="006111A7"/>
    <w:rsid w:val="006127A4"/>
    <w:rsid w:val="00694A4F"/>
    <w:rsid w:val="00702F63"/>
    <w:rsid w:val="00802728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2"/>
  </w:style>
  <w:style w:type="paragraph" w:styleId="1">
    <w:name w:val="heading 1"/>
    <w:basedOn w:val="a"/>
    <w:next w:val="a"/>
    <w:link w:val="10"/>
    <w:uiPriority w:val="99"/>
    <w:qFormat/>
    <w:rsid w:val="001B11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7BF2"/>
    <w:rPr>
      <w:color w:val="auto"/>
    </w:rPr>
  </w:style>
  <w:style w:type="paragraph" w:customStyle="1" w:styleId="ConsPlusTitle">
    <w:name w:val="ConsPlusTitle"/>
    <w:rsid w:val="001B11E2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B11E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2"/>
  </w:style>
  <w:style w:type="paragraph" w:styleId="1">
    <w:name w:val="heading 1"/>
    <w:basedOn w:val="a"/>
    <w:next w:val="a"/>
    <w:link w:val="10"/>
    <w:uiPriority w:val="99"/>
    <w:qFormat/>
    <w:rsid w:val="001B11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7BF2"/>
    <w:rPr>
      <w:color w:val="auto"/>
    </w:rPr>
  </w:style>
  <w:style w:type="paragraph" w:customStyle="1" w:styleId="ConsPlusTitle">
    <w:name w:val="ConsPlusTitle"/>
    <w:rsid w:val="001B11E2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B11E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2F22-1A34-498F-97E9-5A9B7B7B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Председатель ТСЖ</cp:lastModifiedBy>
  <cp:revision>7</cp:revision>
  <cp:lastPrinted>2022-06-29T23:36:00Z</cp:lastPrinted>
  <dcterms:created xsi:type="dcterms:W3CDTF">2022-06-29T23:06:00Z</dcterms:created>
  <dcterms:modified xsi:type="dcterms:W3CDTF">2022-08-01T00:40:00Z</dcterms:modified>
</cp:coreProperties>
</file>